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21" w:rsidRDefault="00B93C21">
      <w:pPr>
        <w:spacing w:after="0" w:line="259" w:lineRule="auto"/>
        <w:ind w:left="0" w:right="0" w:firstLine="0"/>
        <w:jc w:val="left"/>
      </w:pPr>
      <w:bookmarkStart w:id="0" w:name="_GoBack"/>
      <w:bookmarkEnd w:id="0"/>
    </w:p>
    <w:p w:rsidR="00B93C21" w:rsidRDefault="00E20876">
      <w:pPr>
        <w:spacing w:after="0" w:line="259" w:lineRule="auto"/>
        <w:ind w:left="0" w:right="0" w:firstLine="0"/>
        <w:jc w:val="left"/>
      </w:pPr>
      <w:r>
        <w:rPr>
          <w:i/>
        </w:rPr>
        <w:t xml:space="preserve">Forms: </w:t>
      </w:r>
      <w:hyperlink r:id="rId7">
        <w:r>
          <w:rPr>
            <w:i/>
            <w:color w:val="0563C1"/>
            <w:u w:val="single" w:color="0563C1"/>
          </w:rPr>
          <w:t>Independent Study</w:t>
        </w:r>
      </w:hyperlink>
      <w:hyperlink r:id="rId8">
        <w:r>
          <w:rPr>
            <w:i/>
          </w:rPr>
          <w:t xml:space="preserve"> </w:t>
        </w:r>
      </w:hyperlink>
      <w:r>
        <w:rPr>
          <w:i/>
        </w:rPr>
        <w:t xml:space="preserve"> </w:t>
      </w:r>
    </w:p>
    <w:p w:rsidR="00B93C21" w:rsidRDefault="00E20876">
      <w:pPr>
        <w:spacing w:after="0" w:line="259" w:lineRule="auto"/>
        <w:ind w:left="0" w:right="0" w:firstLine="0"/>
        <w:jc w:val="left"/>
      </w:pPr>
      <w:r>
        <w:t xml:space="preserve"> </w:t>
      </w:r>
    </w:p>
    <w:p w:rsidR="00B93C21" w:rsidRDefault="00E20876">
      <w:pPr>
        <w:spacing w:after="0" w:line="259" w:lineRule="auto"/>
        <w:ind w:left="0" w:firstLine="0"/>
        <w:jc w:val="center"/>
      </w:pPr>
      <w:r>
        <w:rPr>
          <w:b/>
        </w:rPr>
        <w:t>INDEPENDENT STUDY (Regular)</w:t>
      </w:r>
      <w:r>
        <w:t xml:space="preserve"> </w:t>
      </w:r>
    </w:p>
    <w:p w:rsidR="00B93C21" w:rsidRDefault="00E20876">
      <w:pPr>
        <w:spacing w:after="0" w:line="259" w:lineRule="auto"/>
        <w:ind w:left="0" w:right="0" w:firstLine="0"/>
        <w:jc w:val="left"/>
      </w:pPr>
      <w:r>
        <w:t xml:space="preserve"> </w:t>
      </w:r>
    </w:p>
    <w:p w:rsidR="00B93C21" w:rsidRDefault="00E20876">
      <w:pPr>
        <w:pStyle w:val="Heading1"/>
        <w:numPr>
          <w:ilvl w:val="0"/>
          <w:numId w:val="0"/>
        </w:numPr>
        <w:ind w:left="-5" w:right="0"/>
      </w:pPr>
      <w:r>
        <w:t xml:space="preserve">A. DEFINITION </w:t>
      </w:r>
    </w:p>
    <w:p w:rsidR="00B93C21" w:rsidRDefault="00E20876">
      <w:pPr>
        <w:spacing w:after="0" w:line="259" w:lineRule="auto"/>
        <w:ind w:left="0" w:right="0" w:firstLine="0"/>
        <w:jc w:val="left"/>
      </w:pPr>
      <w:r>
        <w:t xml:space="preserve"> </w:t>
      </w:r>
    </w:p>
    <w:p w:rsidR="00B93C21" w:rsidRDefault="00E20876">
      <w:pPr>
        <w:ind w:left="345" w:right="0" w:firstLine="0"/>
      </w:pPr>
      <w:r>
        <w:t xml:space="preserve">Independent study courses are catalog or selected topic courses offered on a per student basis. The courses are conducted outside the classroom and guided by a qualified instructor. Assignments are given to the student to study and complete independently within the timeframe assigned by the instructor.  </w:t>
      </w:r>
    </w:p>
    <w:p w:rsidR="00B93C21" w:rsidRDefault="00E20876">
      <w:pPr>
        <w:spacing w:after="0" w:line="259" w:lineRule="auto"/>
        <w:ind w:left="0" w:right="0" w:firstLine="0"/>
        <w:jc w:val="left"/>
      </w:pPr>
      <w:r>
        <w:t xml:space="preserve"> </w:t>
      </w:r>
      <w:r>
        <w:tab/>
        <w:t xml:space="preserve"> </w:t>
      </w:r>
    </w:p>
    <w:p w:rsidR="00B93C21" w:rsidRDefault="00E20876">
      <w:pPr>
        <w:pStyle w:val="Heading1"/>
        <w:numPr>
          <w:ilvl w:val="0"/>
          <w:numId w:val="0"/>
        </w:numPr>
        <w:ind w:left="-5" w:right="0"/>
      </w:pPr>
      <w:r>
        <w:t>B. GUIDELINES</w:t>
      </w:r>
      <w:r>
        <w:rPr>
          <w:b w:val="0"/>
        </w:rPr>
        <w:t xml:space="preserve"> </w:t>
      </w:r>
    </w:p>
    <w:p w:rsidR="00B93C21" w:rsidRDefault="00E20876">
      <w:pPr>
        <w:spacing w:after="13" w:line="259" w:lineRule="auto"/>
        <w:ind w:left="0" w:right="0" w:firstLine="0"/>
        <w:jc w:val="left"/>
      </w:pPr>
      <w:r>
        <w:t xml:space="preserve"> </w:t>
      </w:r>
      <w:r>
        <w:tab/>
        <w:t xml:space="preserve"> </w:t>
      </w:r>
    </w:p>
    <w:p w:rsidR="00B93C21" w:rsidRDefault="00E20876">
      <w:pPr>
        <w:numPr>
          <w:ilvl w:val="0"/>
          <w:numId w:val="1"/>
        </w:numPr>
        <w:ind w:right="0" w:hanging="360"/>
      </w:pPr>
      <w:r>
        <w:t xml:space="preserve">Independent Study courses will never differ from the catalog in credit or contact hours. </w:t>
      </w:r>
    </w:p>
    <w:p w:rsidR="00B93C21" w:rsidRDefault="00E20876">
      <w:pPr>
        <w:spacing w:after="13" w:line="259" w:lineRule="auto"/>
        <w:ind w:left="360" w:right="0" w:firstLine="0"/>
        <w:jc w:val="left"/>
      </w:pPr>
      <w:r>
        <w:t xml:space="preserve"> </w:t>
      </w:r>
    </w:p>
    <w:p w:rsidR="00B93C21" w:rsidRDefault="00E20876">
      <w:pPr>
        <w:numPr>
          <w:ilvl w:val="0"/>
          <w:numId w:val="1"/>
        </w:numPr>
        <w:ind w:right="0" w:hanging="360"/>
      </w:pPr>
      <w:r>
        <w:t xml:space="preserve">An independent study cannot be taught as an audit.  </w:t>
      </w:r>
    </w:p>
    <w:p w:rsidR="00B93C21" w:rsidRDefault="00E20876">
      <w:pPr>
        <w:spacing w:after="13" w:line="259" w:lineRule="auto"/>
        <w:ind w:left="360" w:right="0" w:firstLine="0"/>
        <w:jc w:val="left"/>
      </w:pPr>
      <w:r>
        <w:t xml:space="preserve"> </w:t>
      </w:r>
    </w:p>
    <w:p w:rsidR="00B93C21" w:rsidRDefault="00E20876">
      <w:pPr>
        <w:numPr>
          <w:ilvl w:val="0"/>
          <w:numId w:val="1"/>
        </w:numPr>
        <w:ind w:right="0" w:hanging="360"/>
      </w:pPr>
      <w:r>
        <w:t xml:space="preserve">PRI classes cannot be taught as an independent study. </w:t>
      </w:r>
    </w:p>
    <w:p w:rsidR="00B93C21" w:rsidRDefault="00E20876">
      <w:pPr>
        <w:spacing w:after="0" w:line="259" w:lineRule="auto"/>
        <w:ind w:left="0" w:right="0" w:firstLine="0"/>
        <w:jc w:val="left"/>
      </w:pPr>
      <w:r>
        <w:t xml:space="preserve"> </w:t>
      </w:r>
    </w:p>
    <w:p w:rsidR="00B93C21" w:rsidRDefault="00E20876">
      <w:pPr>
        <w:pStyle w:val="Heading1"/>
        <w:ind w:left="345" w:right="0" w:hanging="360"/>
      </w:pPr>
      <w:r>
        <w:t xml:space="preserve">PROCEDURES </w:t>
      </w:r>
    </w:p>
    <w:p w:rsidR="00B93C21" w:rsidRDefault="00E20876">
      <w:pPr>
        <w:spacing w:after="13" w:line="259" w:lineRule="auto"/>
        <w:ind w:left="0" w:right="0" w:firstLine="0"/>
        <w:jc w:val="left"/>
      </w:pPr>
      <w:r>
        <w:t xml:space="preserve"> </w:t>
      </w:r>
    </w:p>
    <w:p w:rsidR="00B93C21" w:rsidRDefault="00E20876">
      <w:pPr>
        <w:numPr>
          <w:ilvl w:val="0"/>
          <w:numId w:val="2"/>
        </w:numPr>
        <w:ind w:right="0" w:hanging="360"/>
      </w:pPr>
      <w:r>
        <w:t>Faculty or department chairs (for adjunct instructors)</w:t>
      </w:r>
      <w:r>
        <w:rPr>
          <w:u w:val="single" w:color="000000"/>
        </w:rPr>
        <w:t xml:space="preserve"> </w:t>
      </w:r>
      <w:r>
        <w:t xml:space="preserve">complete an Independent Study </w:t>
      </w:r>
      <w:proofErr w:type="spellStart"/>
      <w:r>
        <w:t>eRouting</w:t>
      </w:r>
      <w:proofErr w:type="spellEnd"/>
      <w:r>
        <w:t xml:space="preserve"> form for each student being taught on an independent study basis. The form is then routed to the FLAC Team for processing. </w:t>
      </w:r>
    </w:p>
    <w:p w:rsidR="00B93C21" w:rsidRDefault="00E20876">
      <w:pPr>
        <w:spacing w:after="13" w:line="259" w:lineRule="auto"/>
        <w:ind w:left="360" w:right="0" w:firstLine="0"/>
        <w:jc w:val="left"/>
      </w:pPr>
      <w:r>
        <w:t xml:space="preserve"> </w:t>
      </w:r>
    </w:p>
    <w:p w:rsidR="00B93C21" w:rsidRDefault="00E20876">
      <w:pPr>
        <w:numPr>
          <w:ilvl w:val="0"/>
          <w:numId w:val="2"/>
        </w:numPr>
        <w:ind w:right="0" w:hanging="360"/>
      </w:pPr>
      <w:r>
        <w:t xml:space="preserve">A member of the FLAC Team reviews the form for accuracy, builds the class in Internet Native Banner, and adds the CRN and section number to the form. The form is then routed to the appropriate Division Dean for approval. </w:t>
      </w:r>
    </w:p>
    <w:p w:rsidR="00B93C21" w:rsidRDefault="00E20876">
      <w:pPr>
        <w:spacing w:after="12" w:line="259" w:lineRule="auto"/>
        <w:ind w:left="360" w:right="0" w:firstLine="0"/>
        <w:jc w:val="left"/>
      </w:pPr>
      <w:r>
        <w:t xml:space="preserve"> </w:t>
      </w:r>
    </w:p>
    <w:p w:rsidR="00B93C21" w:rsidRDefault="00E20876">
      <w:pPr>
        <w:numPr>
          <w:ilvl w:val="0"/>
          <w:numId w:val="2"/>
        </w:numPr>
        <w:ind w:right="0" w:hanging="360"/>
      </w:pPr>
      <w:r>
        <w:t xml:space="preserve">The Division Dean, after approval for the form, returns it to the FLAC Team for final processing.  </w:t>
      </w:r>
    </w:p>
    <w:p w:rsidR="00B93C21" w:rsidRDefault="00E20876">
      <w:pPr>
        <w:spacing w:after="13" w:line="259" w:lineRule="auto"/>
        <w:ind w:left="360" w:right="0" w:firstLine="0"/>
        <w:jc w:val="left"/>
      </w:pPr>
      <w:r>
        <w:t xml:space="preserve"> </w:t>
      </w:r>
    </w:p>
    <w:p w:rsidR="00B93C21" w:rsidRDefault="00E20876">
      <w:pPr>
        <w:numPr>
          <w:ilvl w:val="0"/>
          <w:numId w:val="2"/>
        </w:numPr>
        <w:ind w:right="0" w:hanging="360"/>
      </w:pPr>
      <w:r>
        <w:t xml:space="preserve">The FLAC Team add maximum enrollment, weekly activity contact and credit hours, and assigns the instructor.  An email notification is then forwarded to the student. The source document is housed in the VPIS Instructional Support Office. </w:t>
      </w:r>
    </w:p>
    <w:p w:rsidR="00B93C21" w:rsidRDefault="00E20876">
      <w:pPr>
        <w:spacing w:after="0" w:line="259" w:lineRule="auto"/>
        <w:ind w:left="360" w:right="0" w:firstLine="0"/>
        <w:jc w:val="left"/>
      </w:pPr>
      <w:r>
        <w:t xml:space="preserve"> </w:t>
      </w:r>
    </w:p>
    <w:p w:rsidR="00B93C21" w:rsidRDefault="00E20876">
      <w:pPr>
        <w:numPr>
          <w:ilvl w:val="0"/>
          <w:numId w:val="2"/>
        </w:numPr>
        <w:ind w:right="0" w:hanging="360"/>
      </w:pPr>
      <w:r>
        <w:t xml:space="preserve">The student uses their copy of the email notification to register online, or they can take a copy to any of the campuses Enrollment Services office for registration. </w:t>
      </w:r>
    </w:p>
    <w:p w:rsidR="00B93C21" w:rsidRDefault="00E20876">
      <w:pPr>
        <w:spacing w:after="0" w:line="259" w:lineRule="auto"/>
        <w:ind w:left="360" w:right="0" w:firstLine="0"/>
        <w:jc w:val="left"/>
      </w:pPr>
      <w:r>
        <w:t xml:space="preserve"> </w:t>
      </w:r>
    </w:p>
    <w:p w:rsidR="00B93C21" w:rsidRDefault="00E20876" w:rsidP="00190AEA">
      <w:pPr>
        <w:spacing w:after="2880" w:line="259" w:lineRule="auto"/>
        <w:ind w:left="0" w:right="0" w:firstLine="0"/>
        <w:jc w:val="left"/>
      </w:pPr>
      <w:r>
        <w:t xml:space="preserve"> </w:t>
      </w:r>
      <w:r>
        <w:rPr>
          <w:i/>
          <w:sz w:val="20"/>
        </w:rPr>
        <w:t xml:space="preserve"> </w:t>
      </w:r>
    </w:p>
    <w:sectPr w:rsidR="00B93C21">
      <w:headerReference w:type="default" r:id="rId9"/>
      <w:footerReference w:type="default" r:id="rId10"/>
      <w:pgSz w:w="12240" w:h="15840"/>
      <w:pgMar w:top="1440" w:right="215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8FA" w:rsidRDefault="005978FA" w:rsidP="00190AEA">
      <w:pPr>
        <w:spacing w:after="0" w:line="240" w:lineRule="auto"/>
      </w:pPr>
      <w:r>
        <w:separator/>
      </w:r>
    </w:p>
  </w:endnote>
  <w:endnote w:type="continuationSeparator" w:id="0">
    <w:p w:rsidR="005978FA" w:rsidRDefault="005978FA" w:rsidP="0019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EA" w:rsidRDefault="00190AEA" w:rsidP="00190AEA">
    <w:pPr>
      <w:pStyle w:val="Footer"/>
      <w:jc w:val="right"/>
    </w:pPr>
    <w:r>
      <w:rPr>
        <w:i/>
        <w:sz w:val="20"/>
      </w:rPr>
      <w:t>Updated 6/2017</w:t>
    </w:r>
  </w:p>
  <w:p w:rsidR="00190AEA" w:rsidRDefault="00190A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8FA" w:rsidRDefault="005978FA" w:rsidP="00190AEA">
      <w:pPr>
        <w:spacing w:after="0" w:line="240" w:lineRule="auto"/>
      </w:pPr>
      <w:r>
        <w:separator/>
      </w:r>
    </w:p>
  </w:footnote>
  <w:footnote w:type="continuationSeparator" w:id="0">
    <w:p w:rsidR="005978FA" w:rsidRDefault="005978FA" w:rsidP="00190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EA" w:rsidRDefault="00190AEA" w:rsidP="00190AEA">
    <w:pPr>
      <w:spacing w:after="12" w:line="259" w:lineRule="auto"/>
      <w:ind w:left="0" w:right="0" w:firstLine="0"/>
      <w:jc w:val="right"/>
    </w:pPr>
    <w:r>
      <w:rPr>
        <w:i/>
        <w:sz w:val="20"/>
      </w:rPr>
      <w:t xml:space="preserve">EP 300 Independent Study </w:t>
    </w:r>
  </w:p>
  <w:p w:rsidR="00190AEA" w:rsidRDefault="00190AEA" w:rsidP="00190AEA">
    <w:pPr>
      <w:pStyle w:val="Header"/>
      <w:jc w:val="right"/>
    </w:pPr>
  </w:p>
  <w:p w:rsidR="00190AEA" w:rsidRDefault="00190A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6F88"/>
    <w:multiLevelType w:val="hybridMultilevel"/>
    <w:tmpl w:val="F44488EA"/>
    <w:lvl w:ilvl="0" w:tplc="EABE116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228A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A283E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CCF9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C8F3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66E78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B23A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9EBE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1A61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320465"/>
    <w:multiLevelType w:val="hybridMultilevel"/>
    <w:tmpl w:val="7D0CC328"/>
    <w:lvl w:ilvl="0" w:tplc="49A6CED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A661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0AE4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E6A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DEA6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2A5A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F4F5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52B0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2889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E8307E"/>
    <w:multiLevelType w:val="hybridMultilevel"/>
    <w:tmpl w:val="16A40328"/>
    <w:lvl w:ilvl="0" w:tplc="8958627A">
      <w:start w:val="100"/>
      <w:numFmt w:val="upperRoman"/>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9F8E8E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01CED8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950B48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7A956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A440AF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5E41A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766CB9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503A7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21"/>
    <w:rsid w:val="00190AEA"/>
    <w:rsid w:val="005978FA"/>
    <w:rsid w:val="00A03852"/>
    <w:rsid w:val="00B93C21"/>
    <w:rsid w:val="00E2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5BE02-E83F-413B-995F-6E9EB585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right="4"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0"/>
      <w:ind w:left="10" w:right="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190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EA"/>
    <w:rPr>
      <w:rFonts w:ascii="Calibri" w:eastAsia="Calibri" w:hAnsi="Calibri" w:cs="Calibri"/>
      <w:color w:val="000000"/>
    </w:rPr>
  </w:style>
  <w:style w:type="paragraph" w:styleId="Footer">
    <w:name w:val="footer"/>
    <w:basedOn w:val="Normal"/>
    <w:link w:val="FooterChar"/>
    <w:uiPriority w:val="99"/>
    <w:unhideWhenUsed/>
    <w:rsid w:val="00190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E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pcc.edu/p/forms" TargetMode="External"/><Relationship Id="rId3" Type="http://schemas.openxmlformats.org/officeDocument/2006/relationships/settings" Target="settings.xml"/><Relationship Id="rId7" Type="http://schemas.openxmlformats.org/officeDocument/2006/relationships/hyperlink" Target="https://www.ppcc.edu/p/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Independent Study</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Study</dc:title>
  <dc:subject>Educational Procedure</dc:subject>
  <dc:creator>PPCC Instructional Services</dc:creator>
  <cp:keywords>EP 300</cp:keywords>
  <dc:description>Updated June 1, 2017</dc:description>
  <cp:lastModifiedBy>Pemberton, Vicki</cp:lastModifiedBy>
  <cp:revision>2</cp:revision>
  <dcterms:created xsi:type="dcterms:W3CDTF">2021-10-05T22:05:00Z</dcterms:created>
  <dcterms:modified xsi:type="dcterms:W3CDTF">2021-10-05T22:05:00Z</dcterms:modified>
</cp:coreProperties>
</file>